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8760" w14:textId="5A03EE2B" w:rsidR="004D7E96" w:rsidRPr="0001432E" w:rsidRDefault="00AF21D6" w:rsidP="00616229">
      <w:pPr>
        <w:pStyle w:val="Bijlagen"/>
        <w:tabs>
          <w:tab w:val="left" w:pos="1701"/>
        </w:tabs>
        <w:ind w:left="1416" w:hanging="1416"/>
        <w:rPr>
          <w:rFonts w:cstheme="minorBidi"/>
          <w:bCs/>
        </w:rPr>
      </w:pPr>
      <w:bookmarkStart w:id="0" w:name="_Toc448499497"/>
      <w:r>
        <w:t xml:space="preserve">Bijlage </w:t>
      </w:r>
      <w:r w:rsidR="00494A86">
        <w:t>3</w:t>
      </w:r>
      <w:r w:rsidR="004D7E96" w:rsidRPr="0001432E">
        <w:tab/>
      </w:r>
      <w:bookmarkEnd w:id="0"/>
      <w:r w:rsidR="00494A86">
        <w:t>Doorgifte aan derde</w:t>
      </w:r>
      <w:r w:rsidR="00532794">
        <w:t>n</w:t>
      </w:r>
      <w:bookmarkStart w:id="1" w:name="_GoBack"/>
      <w:bookmarkEnd w:id="1"/>
    </w:p>
    <w:p w14:paraId="31393788" w14:textId="77777777" w:rsidR="004D7E96" w:rsidRPr="0001432E" w:rsidRDefault="004D7E96" w:rsidP="004D7E96">
      <w:pPr>
        <w:pStyle w:val="Default"/>
        <w:widowControl w:val="0"/>
        <w:spacing w:line="312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14:paraId="7B142515" w14:textId="7B7156ED" w:rsidR="004D7E96" w:rsidRDefault="004D7E96" w:rsidP="004D7E96">
      <w:pPr>
        <w:pStyle w:val="Default"/>
        <w:widowControl w:val="0"/>
        <w:spacing w:line="312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01432E">
        <w:rPr>
          <w:rFonts w:ascii="Trebuchet MS" w:hAnsi="Trebuchet MS"/>
          <w:color w:val="auto"/>
          <w:sz w:val="20"/>
          <w:szCs w:val="20"/>
        </w:rPr>
        <w:t xml:space="preserve">Overzicht van </w:t>
      </w:r>
      <w:r w:rsidR="005318E2">
        <w:rPr>
          <w:rFonts w:ascii="Trebuchet MS" w:hAnsi="Trebuchet MS"/>
          <w:color w:val="auto"/>
          <w:sz w:val="20"/>
          <w:szCs w:val="20"/>
        </w:rPr>
        <w:t>doorgiften van persoonsgegevens aan derde landen of internationale organisaties.</w:t>
      </w:r>
    </w:p>
    <w:p w14:paraId="5FD00FD2" w14:textId="77777777" w:rsidR="00DA5365" w:rsidRPr="0001432E" w:rsidRDefault="00DA5365" w:rsidP="004D7E96">
      <w:pPr>
        <w:pStyle w:val="Default"/>
        <w:widowControl w:val="0"/>
        <w:spacing w:line="312" w:lineRule="auto"/>
        <w:jc w:val="both"/>
        <w:rPr>
          <w:rFonts w:ascii="Trebuchet MS" w:hAnsi="Trebuchet MS"/>
          <w:color w:val="auto"/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EB1E53" w:rsidRPr="0001432E" w14:paraId="3E9FA445" w14:textId="77777777" w:rsidTr="00150BD7">
        <w:trPr>
          <w:cantSplit/>
          <w:trHeight w:val="56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17C01"/>
            <w:vAlign w:val="center"/>
          </w:tcPr>
          <w:p w14:paraId="4EDF9E2C" w14:textId="27239697" w:rsidR="00EB1E53" w:rsidRPr="0001432E" w:rsidRDefault="00EB1E53" w:rsidP="0001432E">
            <w:pPr>
              <w:pStyle w:val="Default"/>
              <w:widowControl w:val="0"/>
              <w:spacing w:before="40" w:line="312" w:lineRule="auto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bookmarkStart w:id="2" w:name="_Hlk493601843"/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Omschrijving gegevensverwerking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17C01"/>
            <w:vAlign w:val="center"/>
          </w:tcPr>
          <w:p w14:paraId="1B261643" w14:textId="1AE34CC1" w:rsidR="00EB1E53" w:rsidRPr="006A1319" w:rsidRDefault="00EB1E53" w:rsidP="00150BD7">
            <w:pPr>
              <w:pStyle w:val="Default"/>
              <w:widowControl w:val="0"/>
              <w:spacing w:before="40" w:line="312" w:lineRule="auto"/>
              <w:rPr>
                <w:rFonts w:ascii="Trebuchet MS" w:hAnsi="Trebuchet MS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Doorgifte vindt plaats aan:</w:t>
            </w:r>
            <w:r w:rsidR="00150BD7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color w:val="FFFFFF" w:themeColor="background1"/>
                <w:sz w:val="20"/>
                <w:szCs w:val="20"/>
              </w:rPr>
              <w:t>(land</w:t>
            </w:r>
            <w:r w:rsidRPr="006A1319">
              <w:rPr>
                <w:rFonts w:ascii="Trebuchet MS" w:hAnsi="Trebuchet MS"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B1E53" w:rsidRPr="0001432E" w14:paraId="6CAB7865" w14:textId="77777777" w:rsidTr="00BE1974">
        <w:trPr>
          <w:cantSplit/>
          <w:trHeight w:val="37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6DB387" w14:textId="3595C2ED" w:rsidR="00EB1E53" w:rsidRPr="00DA5365" w:rsidRDefault="00445753" w:rsidP="006A1319">
            <w:pPr>
              <w:spacing w:before="40"/>
              <w:jc w:val="left"/>
              <w:rPr>
                <w:u w:val="single"/>
              </w:rPr>
            </w:pPr>
            <w:r>
              <w:rPr>
                <w:u w:val="single"/>
              </w:rPr>
              <w:t>Personeelsgegevens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8785B9" w14:textId="18AD3C9A" w:rsidR="00EB1E53" w:rsidRPr="0001432E" w:rsidRDefault="00EB1E53" w:rsidP="00AC0051">
            <w:pPr>
              <w:spacing w:before="40"/>
            </w:pPr>
          </w:p>
        </w:tc>
      </w:tr>
      <w:tr w:rsidR="00C24D29" w:rsidRPr="0001432E" w14:paraId="0998FD7F" w14:textId="77777777" w:rsidTr="00BE1974">
        <w:trPr>
          <w:cantSplit/>
          <w:trHeight w:val="379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36A518" w14:textId="217C4D98" w:rsidR="00C24D29" w:rsidRPr="0001432E" w:rsidRDefault="00C24D29" w:rsidP="00C24D29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Qualiant</w:t>
            </w: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68FE50C" w14:textId="38B991D1" w:rsidR="00C24D29" w:rsidRPr="0001432E" w:rsidRDefault="00C24D29" w:rsidP="00C24D29">
            <w:pPr>
              <w:spacing w:before="40"/>
            </w:pPr>
            <w:r>
              <w:t>EU/EER</w:t>
            </w:r>
          </w:p>
        </w:tc>
      </w:tr>
      <w:tr w:rsidR="00C24D29" w:rsidRPr="0001432E" w14:paraId="76AF193B" w14:textId="77777777" w:rsidTr="00AC0051">
        <w:trPr>
          <w:cantSplit/>
          <w:trHeight w:val="286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419F11" w14:textId="403B15AE" w:rsidR="00C24D29" w:rsidRPr="0001432E" w:rsidRDefault="00C24D29" w:rsidP="00C24D29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Damecon</w:t>
            </w: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314E1E6" w14:textId="751A935A" w:rsidR="00C24D29" w:rsidRPr="0001432E" w:rsidRDefault="00C24D29" w:rsidP="00C24D29">
            <w:pPr>
              <w:spacing w:before="40"/>
            </w:pPr>
            <w:r>
              <w:t>Nederland</w:t>
            </w:r>
          </w:p>
        </w:tc>
      </w:tr>
      <w:tr w:rsidR="00C24D29" w:rsidRPr="0001432E" w14:paraId="10DB7C2B" w14:textId="77777777" w:rsidTr="00AC0051">
        <w:trPr>
          <w:cantSplit/>
          <w:trHeight w:val="362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ACEF5CE" w14:textId="2CAA99C8" w:rsidR="00C24D29" w:rsidRPr="0001432E" w:rsidRDefault="00C24D29" w:rsidP="00C24D29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Leerlinggegevens</w:t>
            </w: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0B8A2C0" w14:textId="75782418" w:rsidR="00C24D29" w:rsidRPr="0001432E" w:rsidRDefault="00C24D29" w:rsidP="00C24D29">
            <w:pPr>
              <w:spacing w:before="40"/>
            </w:pPr>
          </w:p>
        </w:tc>
      </w:tr>
      <w:tr w:rsidR="00C24D29" w:rsidRPr="0001432E" w14:paraId="5C234B34" w14:textId="77777777" w:rsidTr="00AC0051">
        <w:trPr>
          <w:cantSplit/>
          <w:trHeight w:val="268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BCAB3C2" w14:textId="127F2F3C" w:rsidR="00C24D29" w:rsidRPr="0001432E" w:rsidRDefault="00C24D29" w:rsidP="00C24D29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Damecon</w:t>
            </w: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5F17BB" w14:textId="5978F8A6" w:rsidR="00C24D29" w:rsidRPr="0001432E" w:rsidRDefault="00C24D29" w:rsidP="00C24D29">
            <w:pPr>
              <w:spacing w:before="40"/>
            </w:pPr>
            <w:r>
              <w:t>Nederland</w:t>
            </w:r>
          </w:p>
        </w:tc>
      </w:tr>
      <w:tr w:rsidR="00C24D29" w:rsidRPr="0001432E" w14:paraId="153A2B42" w14:textId="77777777" w:rsidTr="00C24D29">
        <w:trPr>
          <w:cantSplit/>
          <w:trHeight w:val="329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30F1C22" w14:textId="27DA8640" w:rsidR="00C24D29" w:rsidRPr="0001432E" w:rsidRDefault="00C24D29" w:rsidP="00C24D29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OnderwijsTransparant</w:t>
            </w: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B72DED" w14:textId="60A15F55" w:rsidR="00C24D29" w:rsidRPr="0001432E" w:rsidRDefault="00C24D29" w:rsidP="00C24D29">
            <w:pPr>
              <w:spacing w:before="40"/>
            </w:pPr>
            <w:r>
              <w:t>EU/EER</w:t>
            </w:r>
          </w:p>
        </w:tc>
      </w:tr>
      <w:tr w:rsidR="00C24D29" w:rsidRPr="0001432E" w14:paraId="3F60189A" w14:textId="77777777" w:rsidTr="00C24D29">
        <w:trPr>
          <w:cantSplit/>
          <w:trHeight w:val="278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94A97B" w14:textId="4F325A80" w:rsidR="00C24D29" w:rsidRPr="0001432E" w:rsidRDefault="00C24D29" w:rsidP="00C24D29">
            <w:pPr>
              <w:spacing w:before="40"/>
              <w:rPr>
                <w:u w:val="single"/>
              </w:rPr>
            </w:pPr>
            <w:r>
              <w:rPr>
                <w:u w:val="single"/>
              </w:rPr>
              <w:t>Hogrefe</w:t>
            </w: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5368FB3" w14:textId="0C374500" w:rsidR="00C24D29" w:rsidRPr="0001432E" w:rsidRDefault="00C24D29" w:rsidP="00C24D29">
            <w:pPr>
              <w:spacing w:before="40"/>
            </w:pPr>
            <w:r>
              <w:t>EU/EER</w:t>
            </w:r>
          </w:p>
        </w:tc>
      </w:tr>
      <w:tr w:rsidR="00C24D29" w:rsidRPr="0001432E" w14:paraId="138174A3" w14:textId="77777777" w:rsidTr="00BE1974">
        <w:trPr>
          <w:cantSplit/>
          <w:trHeight w:val="659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81ED1E" w14:textId="77777777" w:rsidR="00C24D29" w:rsidRPr="0001432E" w:rsidRDefault="00C24D29" w:rsidP="00C24D29">
            <w:pPr>
              <w:spacing w:before="40"/>
              <w:rPr>
                <w:u w:val="single"/>
              </w:rPr>
            </w:pP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723AAA" w14:textId="77777777" w:rsidR="00C24D29" w:rsidRPr="0001432E" w:rsidRDefault="00C24D29" w:rsidP="00C24D29">
            <w:pPr>
              <w:spacing w:before="40"/>
            </w:pPr>
          </w:p>
        </w:tc>
      </w:tr>
      <w:tr w:rsidR="00C24D29" w:rsidRPr="0001432E" w14:paraId="72D65B2C" w14:textId="77777777" w:rsidTr="00BE1974">
        <w:trPr>
          <w:cantSplit/>
          <w:trHeight w:val="659"/>
        </w:trPr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E45EA" w14:textId="77777777" w:rsidR="00C24D29" w:rsidRPr="0001432E" w:rsidRDefault="00C24D29" w:rsidP="00C24D29">
            <w:pPr>
              <w:spacing w:before="40"/>
              <w:rPr>
                <w:u w:val="single"/>
              </w:rPr>
            </w:pPr>
          </w:p>
        </w:tc>
        <w:tc>
          <w:tcPr>
            <w:tcW w:w="466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CFD45" w14:textId="77777777" w:rsidR="00C24D29" w:rsidRPr="0001432E" w:rsidRDefault="00C24D29" w:rsidP="00C24D29">
            <w:pPr>
              <w:spacing w:before="40"/>
            </w:pPr>
          </w:p>
        </w:tc>
      </w:tr>
      <w:bookmarkEnd w:id="2"/>
    </w:tbl>
    <w:p w14:paraId="45917AE6" w14:textId="77777777" w:rsidR="004D7E96" w:rsidRPr="0001432E" w:rsidRDefault="004D7E96" w:rsidP="004D7E96"/>
    <w:p w14:paraId="31E11F64" w14:textId="77777777" w:rsidR="007D7265" w:rsidRDefault="007D7265" w:rsidP="004D7E96"/>
    <w:p w14:paraId="6076609D" w14:textId="77777777" w:rsidR="00BE1974" w:rsidRDefault="00BE1974" w:rsidP="004D7E96"/>
    <w:p w14:paraId="247E0B9B" w14:textId="3EE03124" w:rsidR="00494A86" w:rsidRDefault="004D7E96" w:rsidP="004D7E96">
      <w:r w:rsidRPr="0001432E">
        <w:t xml:space="preserve">Deze bijlage </w:t>
      </w:r>
      <w:r w:rsidR="00445753">
        <w:t>is voor het laatst gewijzigd op 23-03-2018</w:t>
      </w:r>
      <w:r w:rsidRPr="0001432E">
        <w:rPr>
          <w:bCs/>
        </w:rPr>
        <w:t>.</w:t>
      </w:r>
    </w:p>
    <w:p w14:paraId="4094408C" w14:textId="77777777" w:rsidR="00C9484F" w:rsidRDefault="00C9484F" w:rsidP="00C9484F"/>
    <w:p w14:paraId="5E9C6421" w14:textId="77777777" w:rsidR="00BE1974" w:rsidRDefault="00BE1974">
      <w:pPr>
        <w:rPr>
          <w:b/>
          <w:color w:val="E17C01"/>
          <w:sz w:val="28"/>
          <w:u w:val="single"/>
        </w:rPr>
      </w:pPr>
      <w:r>
        <w:rPr>
          <w:u w:val="single"/>
        </w:rPr>
        <w:br w:type="page"/>
      </w:r>
    </w:p>
    <w:p w14:paraId="63221AB3" w14:textId="6BCAD00D" w:rsidR="00C9484F" w:rsidRPr="00C9484F" w:rsidRDefault="00C9484F" w:rsidP="00C9484F">
      <w:pPr>
        <w:pStyle w:val="Bijlagen"/>
        <w:rPr>
          <w:sz w:val="20"/>
          <w:u w:val="single"/>
        </w:rPr>
      </w:pPr>
      <w:r w:rsidRPr="00C9484F">
        <w:rPr>
          <w:u w:val="single"/>
        </w:rPr>
        <w:lastRenderedPageBreak/>
        <w:t>Toelichting</w:t>
      </w:r>
    </w:p>
    <w:p w14:paraId="355A929C" w14:textId="1D82EA22" w:rsidR="00A43110" w:rsidRDefault="00A43110" w:rsidP="00A43110"/>
    <w:p w14:paraId="19EA1D19" w14:textId="77777777" w:rsidR="001A7B44" w:rsidRDefault="001A7B44" w:rsidP="001A7B44">
      <w:r>
        <w:t xml:space="preserve">Op de verwerkingsverantwoordelijke rust ingevolge artikel 30 lid 1e van de AVG de verplichting om te vermelden in welke gevallen doorgifte plaatsvindt en om welke landen het gaat. Bijlage 3 bij het Register voorziet in model hiervoor. </w:t>
      </w:r>
    </w:p>
    <w:p w14:paraId="5FD98BB1" w14:textId="4B718829" w:rsidR="001A7B44" w:rsidRDefault="001A7B44" w:rsidP="00A43110"/>
    <w:p w14:paraId="7E3A76B8" w14:textId="5F505DBB" w:rsidR="00196FB3" w:rsidRDefault="006A1319" w:rsidP="00A43110">
      <w:r>
        <w:t xml:space="preserve">De bescherming van persoonsgegevens is niet in alle landen hetzelfde geregeld. Doorgifte van persoonsgegevens naar </w:t>
      </w:r>
      <w:r w:rsidR="00E660A4">
        <w:t xml:space="preserve">een land buiten de Europese Economische Ruimte (EER) </w:t>
      </w:r>
      <w:r>
        <w:t xml:space="preserve">mag daarom niet zomaar. </w:t>
      </w:r>
      <w:r w:rsidR="00E660A4">
        <w:t>Zie bijlage VII voor een korte toelichting op de voorwaarden die hiervoor gelden.</w:t>
      </w:r>
      <w:r w:rsidR="00196FB3">
        <w:t xml:space="preserve"> </w:t>
      </w:r>
      <w:r w:rsidR="00E660A4">
        <w:t xml:space="preserve">In de onderwijssector vindt doorgifte aan derde landen bijvoorbeeld plaats wanneer gebruik wordt gemaakt van clouddiensten zoals Dropbox, Google </w:t>
      </w:r>
      <w:r w:rsidR="00196FB3">
        <w:t>Docs en Office 365 (Microsoft)</w:t>
      </w:r>
      <w:r w:rsidR="00C72C66">
        <w:t>.</w:t>
      </w:r>
    </w:p>
    <w:p w14:paraId="4BCEBA1C" w14:textId="18ED25FE" w:rsidR="00196FB3" w:rsidRDefault="00196FB3" w:rsidP="00A43110"/>
    <w:p w14:paraId="38505771" w14:textId="48DF7DF0" w:rsidR="00057140" w:rsidRDefault="00057140" w:rsidP="00A43110">
      <w:r>
        <w:t>Om te achterhalen of doorgifte naar het buitenland rechtmatig is en of er extra maatregelen genomen moeten worden kunnen de volgende stappen worden doorlopen:</w:t>
      </w:r>
    </w:p>
    <w:p w14:paraId="40EF4E55" w14:textId="212A004A" w:rsidR="00057140" w:rsidRDefault="00057140" w:rsidP="00A43110"/>
    <w:p w14:paraId="23772004" w14:textId="26BA03A8" w:rsidR="001A7B44" w:rsidRDefault="001A7B44" w:rsidP="00A43110">
      <w:r>
        <w:rPr>
          <w:b/>
        </w:rPr>
        <w:t>Stap 1</w:t>
      </w:r>
      <w:r w:rsidRPr="001A7B44">
        <w:rPr>
          <w:b/>
        </w:rPr>
        <w:t>:</w:t>
      </w:r>
    </w:p>
    <w:p w14:paraId="3A81B887" w14:textId="109183B2" w:rsidR="00057140" w:rsidRPr="001A7B44" w:rsidRDefault="001A7B44" w:rsidP="00A43110">
      <w:pPr>
        <w:rPr>
          <w:b/>
        </w:rPr>
      </w:pPr>
      <w:r>
        <w:t>G</w:t>
      </w:r>
      <w:r w:rsidR="00057140" w:rsidRPr="001A7B44">
        <w:t xml:space="preserve">aat het om doorgifte binnen de EER (alle EU-landen plus Liechtenstein, Noorwegen en IJsland)? </w:t>
      </w:r>
    </w:p>
    <w:p w14:paraId="7BAF2247" w14:textId="77777777" w:rsidR="001A7B44" w:rsidRDefault="001A7B44" w:rsidP="00057140">
      <w:pPr>
        <w:ind w:left="708"/>
      </w:pPr>
    </w:p>
    <w:p w14:paraId="6359E39C" w14:textId="2141FDB7" w:rsidR="00057140" w:rsidRDefault="00057140" w:rsidP="00BE1974">
      <w:pPr>
        <w:pStyle w:val="Lijstalinea"/>
        <w:numPr>
          <w:ilvl w:val="0"/>
          <w:numId w:val="24"/>
        </w:numPr>
        <w:ind w:left="1134" w:hanging="567"/>
      </w:pPr>
      <w:r w:rsidRPr="001A7B44">
        <w:t>Zo ja,</w:t>
      </w:r>
      <w:r>
        <w:t xml:space="preserve"> dan zijn geen bijzondere maatregelen nodig. De bescherming van persoonsgegevens is in deze landen conform de AVG geregeld. </w:t>
      </w:r>
    </w:p>
    <w:p w14:paraId="3053431E" w14:textId="77777777" w:rsidR="00057140" w:rsidRDefault="00057140" w:rsidP="00BE1974">
      <w:pPr>
        <w:ind w:left="1134" w:hanging="567"/>
      </w:pPr>
    </w:p>
    <w:p w14:paraId="7C5E50DF" w14:textId="74AE839D" w:rsidR="00057140" w:rsidRDefault="00057140" w:rsidP="00BE1974">
      <w:pPr>
        <w:pStyle w:val="Lijstalinea"/>
        <w:numPr>
          <w:ilvl w:val="0"/>
          <w:numId w:val="24"/>
        </w:numPr>
        <w:ind w:left="1134" w:hanging="567"/>
      </w:pPr>
      <w:r w:rsidRPr="001A7B44">
        <w:t>Zo niet,</w:t>
      </w:r>
      <w:r>
        <w:t xml:space="preserve"> ga dan verder naar stap 2. </w:t>
      </w:r>
    </w:p>
    <w:p w14:paraId="5EA2DFE3" w14:textId="7E7037A5" w:rsidR="00057140" w:rsidRDefault="00057140" w:rsidP="00A43110"/>
    <w:p w14:paraId="095C85A3" w14:textId="77777777" w:rsidR="001A7B44" w:rsidRDefault="00057140" w:rsidP="00A43110">
      <w:r w:rsidRPr="001A7B44">
        <w:rPr>
          <w:b/>
        </w:rPr>
        <w:t>Stap 2:</w:t>
      </w:r>
      <w:r>
        <w:t xml:space="preserve"> </w:t>
      </w:r>
    </w:p>
    <w:p w14:paraId="32139DEB" w14:textId="3835D2B9" w:rsidR="00057140" w:rsidRDefault="001A7B44" w:rsidP="00A43110">
      <w:r>
        <w:t xml:space="preserve">Heeft de Europese Commissie geoordeeld dat het land over een passend beschermingsniveau beschikt (adequaatheidsbesluit)? Zie voor de volledige lijst: </w:t>
      </w:r>
      <w:hyperlink r:id="rId8" w:history="1">
        <w:r w:rsidRPr="00DA4587">
          <w:rPr>
            <w:rStyle w:val="Hyperlink"/>
          </w:rPr>
          <w:t>http://ec.europa.eu/justice/data-protection/international-transfers/adequacy/index_en.htm</w:t>
        </w:r>
      </w:hyperlink>
      <w:r>
        <w:t xml:space="preserve">. </w:t>
      </w:r>
    </w:p>
    <w:p w14:paraId="527E123D" w14:textId="779A562F" w:rsidR="001A7B44" w:rsidRDefault="001A7B44" w:rsidP="00A43110"/>
    <w:p w14:paraId="76E93D23" w14:textId="352E2050" w:rsidR="001A7B44" w:rsidRPr="001A7B44" w:rsidRDefault="001A7B44" w:rsidP="00BE1974">
      <w:pPr>
        <w:pStyle w:val="Lijstalinea"/>
        <w:numPr>
          <w:ilvl w:val="0"/>
          <w:numId w:val="25"/>
        </w:numPr>
        <w:ind w:left="1134" w:hanging="567"/>
      </w:pPr>
      <w:r w:rsidRPr="001A7B44">
        <w:t xml:space="preserve">Zo ja, dan zijn geen bijzondere maatregelen nodig. De bescherming van persoonsgegevens is voldoende gewaarborgd. </w:t>
      </w:r>
    </w:p>
    <w:p w14:paraId="14F25293" w14:textId="76A5E4D3" w:rsidR="00057140" w:rsidRPr="001A7B44" w:rsidRDefault="00057140" w:rsidP="00BE1974">
      <w:pPr>
        <w:ind w:left="1134" w:hanging="567"/>
      </w:pPr>
    </w:p>
    <w:p w14:paraId="556D753C" w14:textId="34683E9A" w:rsidR="00AC6B35" w:rsidRDefault="001A7B44" w:rsidP="00A43110">
      <w:pPr>
        <w:pStyle w:val="Lijstalinea"/>
        <w:numPr>
          <w:ilvl w:val="0"/>
          <w:numId w:val="25"/>
        </w:numPr>
        <w:ind w:left="1134" w:hanging="567"/>
      </w:pPr>
      <w:r w:rsidRPr="001A7B44">
        <w:t xml:space="preserve">Zo niet, ga dan verder naar stap 3. </w:t>
      </w:r>
    </w:p>
    <w:p w14:paraId="26D8C5F9" w14:textId="77777777" w:rsidR="00AC6B35" w:rsidRDefault="00AC6B35" w:rsidP="00A43110"/>
    <w:p w14:paraId="35AFF857" w14:textId="77777777" w:rsidR="001A7B44" w:rsidRDefault="001A7B44" w:rsidP="00A43110">
      <w:r w:rsidRPr="001A7B44">
        <w:rPr>
          <w:b/>
        </w:rPr>
        <w:t>Stap 3:</w:t>
      </w:r>
      <w:r>
        <w:rPr>
          <w:b/>
        </w:rPr>
        <w:t xml:space="preserve"> </w:t>
      </w:r>
    </w:p>
    <w:p w14:paraId="663399B5" w14:textId="3FF3BB2C" w:rsidR="001A7B44" w:rsidRPr="001A7B44" w:rsidRDefault="001A7B44" w:rsidP="00A43110">
      <w:pPr>
        <w:rPr>
          <w:b/>
        </w:rPr>
      </w:pPr>
      <w:r>
        <w:t>E</w:t>
      </w:r>
      <w:r w:rsidRPr="001A7B44">
        <w:t xml:space="preserve">r is sprake van een land zonder passend beschermingsniveau. De doorgifte is alleen rechtmatig als er een EU model contract </w:t>
      </w:r>
      <w:r>
        <w:t>zoals geplaatst op de website van de Europese Commissie (</w:t>
      </w:r>
      <w:hyperlink r:id="rId9" w:history="1">
        <w:r w:rsidRPr="00DA4587">
          <w:rPr>
            <w:rStyle w:val="Hyperlink"/>
          </w:rPr>
          <w:t>http://ec.europa.eu/justice/data-protection/international-transfers/transfer/index_en.htm</w:t>
        </w:r>
      </w:hyperlink>
      <w:r>
        <w:t xml:space="preserve">) </w:t>
      </w:r>
      <w:r w:rsidRPr="001A7B44">
        <w:t xml:space="preserve">met </w:t>
      </w:r>
      <w:r>
        <w:t>de derde partij wordt gesloten.</w:t>
      </w:r>
    </w:p>
    <w:p w14:paraId="36CC5C03" w14:textId="5A1773BC" w:rsidR="001A7B44" w:rsidRDefault="001A7B44" w:rsidP="00A43110"/>
    <w:p w14:paraId="50BFEA6F" w14:textId="7B6B373C" w:rsidR="001A7B44" w:rsidRDefault="001A7B44" w:rsidP="00BE1974">
      <w:pPr>
        <w:pStyle w:val="Lijstalinea"/>
        <w:numPr>
          <w:ilvl w:val="0"/>
          <w:numId w:val="27"/>
        </w:numPr>
        <w:ind w:left="1134" w:hanging="567"/>
      </w:pPr>
      <w:r>
        <w:lastRenderedPageBreak/>
        <w:t xml:space="preserve">Is er een modelcontract afgesloten? Dan zijn verdere maatregelen niet nodig. </w:t>
      </w:r>
    </w:p>
    <w:p w14:paraId="49FC3DFE" w14:textId="2DF46EB7" w:rsidR="001A7B44" w:rsidRDefault="001A7B44" w:rsidP="00BE1974">
      <w:pPr>
        <w:ind w:left="1134" w:hanging="567"/>
      </w:pPr>
    </w:p>
    <w:p w14:paraId="154832CF" w14:textId="7BF8828C" w:rsidR="001A7B44" w:rsidRDefault="001A7B44" w:rsidP="00BE1974">
      <w:pPr>
        <w:pStyle w:val="Lijstalinea"/>
        <w:numPr>
          <w:ilvl w:val="0"/>
          <w:numId w:val="27"/>
        </w:numPr>
        <w:ind w:left="1134" w:hanging="567"/>
      </w:pPr>
      <w:r>
        <w:t>Is er geen modelcontract afgesloten? Ga dan verder naar stap 4.</w:t>
      </w:r>
    </w:p>
    <w:p w14:paraId="602C7E2D" w14:textId="29C116DE" w:rsidR="001A7B44" w:rsidRDefault="001A7B44" w:rsidP="00A43110"/>
    <w:p w14:paraId="5D85C37B" w14:textId="39436496" w:rsidR="001A7B44" w:rsidRPr="001A7B44" w:rsidRDefault="001A7B44" w:rsidP="00A43110">
      <w:pPr>
        <w:rPr>
          <w:b/>
        </w:rPr>
      </w:pPr>
      <w:r w:rsidRPr="001A7B44">
        <w:rPr>
          <w:b/>
        </w:rPr>
        <w:t xml:space="preserve">Stap 4: </w:t>
      </w:r>
    </w:p>
    <w:p w14:paraId="14EFAF33" w14:textId="3052F880" w:rsidR="001A7B44" w:rsidRDefault="001A7B44" w:rsidP="00A43110">
      <w:r>
        <w:t>Doorgifte is alleen mogelijk als de betrokkene uitdrukkelijk met de</w:t>
      </w:r>
      <w:r w:rsidR="007B5437">
        <w:t xml:space="preserve"> voorgestelde doorgifte instemt na (op een beknopte, transparantie, begrijpelijke en gemakkelijke manier) te zijn ingelicht over de risico´s die dergelijke doorgiften voor hem of haar kunnen inhouden. Dit betekent uitleg over wat een niet-adequaat land is, wat passende waarborgen inhouden en waarom in dit geval toch doorgifte wordt voorgesteld. Advies is om deze procedure - met het oog op de op het samenwerkingsverband rustende verantwoordingsplicht - nauwkeurig </w:t>
      </w:r>
      <w:r w:rsidR="00AC6B35">
        <w:t xml:space="preserve">en </w:t>
      </w:r>
      <w:r w:rsidR="007B5437">
        <w:t>schriftelijk vast te leggen.</w:t>
      </w:r>
    </w:p>
    <w:p w14:paraId="78980F9B" w14:textId="7A850A26" w:rsidR="00057140" w:rsidRDefault="00057140" w:rsidP="00A43110"/>
    <w:p w14:paraId="6765E94E" w14:textId="77777777" w:rsidR="00EB1E53" w:rsidRDefault="00EB1E53" w:rsidP="00EB1E53"/>
    <w:p w14:paraId="22482556" w14:textId="751DFB63" w:rsidR="00EB1E53" w:rsidRDefault="00EB1E53" w:rsidP="00EB1E53"/>
    <w:p w14:paraId="1A420B64" w14:textId="77777777" w:rsidR="00EB1E53" w:rsidRPr="00EB1E53" w:rsidRDefault="00EB1E53" w:rsidP="00EB1E53"/>
    <w:sectPr w:rsidR="00EB1E53" w:rsidRPr="00EB1E53" w:rsidSect="004A58C8">
      <w:footerReference w:type="default" r:id="rId10"/>
      <w:pgSz w:w="11906" w:h="16838" w:code="9"/>
      <w:pgMar w:top="2835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0779" w14:textId="77777777" w:rsidR="001A7B44" w:rsidRDefault="001A7B44" w:rsidP="004E2DAF">
      <w:pPr>
        <w:spacing w:line="240" w:lineRule="auto"/>
      </w:pPr>
      <w:r>
        <w:separator/>
      </w:r>
    </w:p>
  </w:endnote>
  <w:endnote w:type="continuationSeparator" w:id="0">
    <w:p w14:paraId="11B8227E" w14:textId="77777777" w:rsidR="001A7B44" w:rsidRDefault="001A7B44" w:rsidP="004E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737C" w14:textId="77777777" w:rsidR="001A7B44" w:rsidRPr="002402CA" w:rsidRDefault="001A7B44" w:rsidP="002402CA">
    <w:pPr>
      <w:pStyle w:val="Voettekst"/>
      <w:pBdr>
        <w:bottom w:val="single" w:sz="6" w:space="1" w:color="auto"/>
      </w:pBdr>
      <w:ind w:left="0" w:firstLine="0"/>
      <w:rPr>
        <w:sz w:val="20"/>
      </w:rPr>
    </w:pPr>
  </w:p>
  <w:p w14:paraId="7CE357E6" w14:textId="77777777" w:rsidR="001A7B44" w:rsidRPr="002402CA" w:rsidRDefault="001A7B44" w:rsidP="00DC3D59">
    <w:pPr>
      <w:pStyle w:val="Voettekst"/>
      <w:rPr>
        <w:sz w:val="20"/>
      </w:rPr>
    </w:pPr>
  </w:p>
  <w:p w14:paraId="38B01C80" w14:textId="223773E0" w:rsidR="001A7B44" w:rsidRPr="00445753" w:rsidRDefault="001A7B44" w:rsidP="00DC3D59">
    <w:pPr>
      <w:pStyle w:val="Voettekst"/>
      <w:tabs>
        <w:tab w:val="clear" w:pos="4536"/>
        <w:tab w:val="center" w:pos="4253"/>
      </w:tabs>
      <w:ind w:right="-1"/>
      <w:rPr>
        <w:i/>
        <w:sz w:val="20"/>
      </w:rPr>
    </w:pPr>
    <w:r>
      <w:rPr>
        <w:sz w:val="20"/>
      </w:rPr>
      <w:t>Register van verwerkingsactiviteiten</w:t>
    </w:r>
    <w:r w:rsidRPr="002402CA">
      <w:rPr>
        <w:sz w:val="20"/>
      </w:rPr>
      <w:ptab w:relativeTo="margin" w:alignment="center" w:leader="none"/>
    </w:r>
    <w:r w:rsidRPr="002402CA">
      <w:rPr>
        <w:sz w:val="20"/>
      </w:rPr>
      <w:t xml:space="preserve"> </w:t>
    </w:r>
    <w:sdt>
      <w:sdtPr>
        <w:rPr>
          <w:sz w:val="20"/>
        </w:rPr>
        <w:id w:val="1518348012"/>
        <w:docPartObj>
          <w:docPartGallery w:val="Page Numbers (Bottom of Page)"/>
          <w:docPartUnique/>
        </w:docPartObj>
      </w:sdtPr>
      <w:sdtEndPr/>
      <w:sdtContent>
        <w:r w:rsidRPr="002402CA">
          <w:rPr>
            <w:sz w:val="20"/>
          </w:rPr>
          <w:fldChar w:fldCharType="begin"/>
        </w:r>
        <w:r w:rsidRPr="002402CA">
          <w:rPr>
            <w:sz w:val="20"/>
          </w:rPr>
          <w:instrText>PAGE   \* MERGEFORMAT</w:instrText>
        </w:r>
        <w:r w:rsidRPr="002402CA">
          <w:rPr>
            <w:sz w:val="20"/>
          </w:rPr>
          <w:fldChar w:fldCharType="separate"/>
        </w:r>
        <w:r w:rsidR="00532794">
          <w:rPr>
            <w:noProof/>
            <w:sz w:val="20"/>
          </w:rPr>
          <w:t>1</w:t>
        </w:r>
        <w:r w:rsidRPr="002402CA">
          <w:rPr>
            <w:sz w:val="20"/>
          </w:rPr>
          <w:fldChar w:fldCharType="end"/>
        </w:r>
      </w:sdtContent>
    </w:sdt>
    <w:r w:rsidRPr="002402CA">
      <w:rPr>
        <w:sz w:val="20"/>
      </w:rPr>
      <w:tab/>
    </w:r>
    <w:r w:rsidR="00445753">
      <w:rPr>
        <w:i/>
        <w:sz w:val="20"/>
      </w:rPr>
      <w:t>SWV onderwijs dat past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E204" w14:textId="77777777" w:rsidR="001A7B44" w:rsidRDefault="001A7B44" w:rsidP="004E2DAF">
      <w:pPr>
        <w:spacing w:line="240" w:lineRule="auto"/>
      </w:pPr>
      <w:r>
        <w:separator/>
      </w:r>
    </w:p>
  </w:footnote>
  <w:footnote w:type="continuationSeparator" w:id="0">
    <w:p w14:paraId="0247513C" w14:textId="77777777" w:rsidR="001A7B44" w:rsidRDefault="001A7B44" w:rsidP="004E2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C85"/>
    <w:multiLevelType w:val="multilevel"/>
    <w:tmpl w:val="7AEAC140"/>
    <w:lvl w:ilvl="0">
      <w:start w:val="1"/>
      <w:numFmt w:val="decimal"/>
      <w:lvlText w:val="Artikel %1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B4D13"/>
    <w:multiLevelType w:val="hybridMultilevel"/>
    <w:tmpl w:val="4060F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7F9"/>
    <w:multiLevelType w:val="hybridMultilevel"/>
    <w:tmpl w:val="17E86F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07A93"/>
    <w:multiLevelType w:val="hybridMultilevel"/>
    <w:tmpl w:val="49AC9D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2F5F"/>
    <w:multiLevelType w:val="hybridMultilevel"/>
    <w:tmpl w:val="02388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539D"/>
    <w:multiLevelType w:val="hybridMultilevel"/>
    <w:tmpl w:val="07B04814"/>
    <w:lvl w:ilvl="0" w:tplc="5D526556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6" w15:restartNumberingAfterBreak="0">
    <w:nsid w:val="0A9F2487"/>
    <w:multiLevelType w:val="hybridMultilevel"/>
    <w:tmpl w:val="6F22FCD2"/>
    <w:lvl w:ilvl="0" w:tplc="C974F46C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7" w15:restartNumberingAfterBreak="0">
    <w:nsid w:val="0D8E34E1"/>
    <w:multiLevelType w:val="multilevel"/>
    <w:tmpl w:val="2AB00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FD7136"/>
    <w:multiLevelType w:val="multilevel"/>
    <w:tmpl w:val="618CD404"/>
    <w:lvl w:ilvl="0">
      <w:start w:val="1"/>
      <w:numFmt w:val="decimal"/>
      <w:pStyle w:val="WD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WD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WD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4907ED"/>
    <w:multiLevelType w:val="hybridMultilevel"/>
    <w:tmpl w:val="89D65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597"/>
    <w:multiLevelType w:val="hybridMultilevel"/>
    <w:tmpl w:val="B29A58A8"/>
    <w:lvl w:ilvl="0" w:tplc="DBB2C09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6C5"/>
    <w:multiLevelType w:val="multilevel"/>
    <w:tmpl w:val="B4A6D24E"/>
    <w:lvl w:ilvl="0">
      <w:start w:val="1"/>
      <w:numFmt w:val="decimal"/>
      <w:pStyle w:val="StijlArtikel"/>
      <w:lvlText w:val="Artikel %1."/>
      <w:lvlJc w:val="left"/>
      <w:pPr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stijlartikel1"/>
      <w:lvlText w:val="%1.%2."/>
      <w:lvlJc w:val="left"/>
      <w:pPr>
        <w:ind w:left="709" w:hanging="709"/>
      </w:pPr>
      <w:rPr>
        <w:rFonts w:hint="default"/>
        <w:b w:val="0"/>
        <w:i w:val="0"/>
        <w:color w:val="000000" w:themeColor="text1"/>
        <w:sz w:val="20"/>
      </w:rPr>
    </w:lvl>
    <w:lvl w:ilvl="2">
      <w:start w:val="1"/>
      <w:numFmt w:val="decimal"/>
      <w:pStyle w:val="Stijlartikel11"/>
      <w:lvlText w:val="%1.%2.%3."/>
      <w:lvlJc w:val="left"/>
      <w:pPr>
        <w:ind w:left="709" w:hanging="709"/>
      </w:pPr>
      <w:rPr>
        <w:rFonts w:hint="default"/>
        <w:b w:val="0"/>
        <w:i w:val="0"/>
      </w:rPr>
    </w:lvl>
    <w:lvl w:ilvl="3">
      <w:start w:val="1"/>
      <w:numFmt w:val="lowerLetter"/>
      <w:pStyle w:val="Stijlanaartikel1"/>
      <w:lvlText w:val="%4."/>
      <w:lvlJc w:val="left"/>
      <w:pPr>
        <w:ind w:left="1418" w:hanging="709"/>
      </w:pPr>
      <w:rPr>
        <w:rFonts w:hint="default"/>
        <w:b w:val="0"/>
        <w:i w:val="0"/>
      </w:rPr>
    </w:lvl>
    <w:lvl w:ilvl="4">
      <w:start w:val="1"/>
      <w:numFmt w:val="lowerLetter"/>
      <w:pStyle w:val="Stijla"/>
      <w:lvlText w:val="%5."/>
      <w:lvlJc w:val="left"/>
      <w:pPr>
        <w:ind w:left="709" w:hanging="709"/>
      </w:pPr>
      <w:rPr>
        <w:rFonts w:hint="default"/>
        <w:b w:val="0"/>
        <w:i w:val="0"/>
      </w:rPr>
    </w:lvl>
    <w:lvl w:ilvl="5">
      <w:start w:val="1"/>
      <w:numFmt w:val="bullet"/>
      <w:lvlText w:val="‐"/>
      <w:lvlJc w:val="left"/>
      <w:pPr>
        <w:ind w:left="1418" w:hanging="709"/>
      </w:pPr>
      <w:rPr>
        <w:rFonts w:ascii="Trebuchet MS" w:hAnsi="Trebuchet MS" w:hint="default"/>
        <w:b w:val="0"/>
        <w:i w:val="0"/>
      </w:rPr>
    </w:lvl>
    <w:lvl w:ilvl="6">
      <w:start w:val="1"/>
      <w:numFmt w:val="bullet"/>
      <w:pStyle w:val="Stijl1opsomming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1027A0"/>
    <w:multiLevelType w:val="hybridMultilevel"/>
    <w:tmpl w:val="559A5840"/>
    <w:lvl w:ilvl="0" w:tplc="990E4B0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 w15:restartNumberingAfterBreak="0">
    <w:nsid w:val="33550B41"/>
    <w:multiLevelType w:val="hybridMultilevel"/>
    <w:tmpl w:val="C5746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7110"/>
    <w:multiLevelType w:val="hybridMultilevel"/>
    <w:tmpl w:val="79B8FA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2429"/>
    <w:multiLevelType w:val="hybridMultilevel"/>
    <w:tmpl w:val="C2DE6624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08536A"/>
    <w:multiLevelType w:val="multilevel"/>
    <w:tmpl w:val="2AB00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6B68A5"/>
    <w:multiLevelType w:val="multilevel"/>
    <w:tmpl w:val="F6E2CCE4"/>
    <w:lvl w:ilvl="0">
      <w:start w:val="1"/>
      <w:numFmt w:val="decimal"/>
      <w:pStyle w:val="Kop7"/>
      <w:lvlText w:val="Artikel %1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B929FB"/>
    <w:multiLevelType w:val="hybridMultilevel"/>
    <w:tmpl w:val="9E0017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6702E"/>
    <w:multiLevelType w:val="hybridMultilevel"/>
    <w:tmpl w:val="EB4E9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E5EA8"/>
    <w:multiLevelType w:val="hybridMultilevel"/>
    <w:tmpl w:val="20FE1110"/>
    <w:lvl w:ilvl="0" w:tplc="9E88667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1D5D"/>
    <w:multiLevelType w:val="hybridMultilevel"/>
    <w:tmpl w:val="D228E7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5A7D69"/>
    <w:multiLevelType w:val="hybridMultilevel"/>
    <w:tmpl w:val="D8B2D8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1"/>
    <w:lvlOverride w:ilvl="0">
      <w:lvl w:ilvl="0">
        <w:start w:val="1"/>
        <w:numFmt w:val="decimal"/>
        <w:pStyle w:val="StijlArtikel"/>
        <w:lvlText w:val="Artikel %1."/>
        <w:lvlJc w:val="left"/>
        <w:pPr>
          <w:ind w:left="709" w:hanging="709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stijlartikel1"/>
        <w:lvlText w:val="%1.%2."/>
        <w:lvlJc w:val="left"/>
        <w:pPr>
          <w:ind w:left="709" w:hanging="709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Stijlartikel11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ijlanaartikel1"/>
        <w:lvlText w:val="%4."/>
        <w:lvlJc w:val="left"/>
        <w:pPr>
          <w:ind w:left="1418" w:hanging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pStyle w:val="Stijla"/>
        <w:lvlText w:val="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Stijl1opsomming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21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12"/>
  </w:num>
  <w:num w:numId="18">
    <w:abstractNumId w:val="6"/>
  </w:num>
  <w:num w:numId="19">
    <w:abstractNumId w:val="5"/>
  </w:num>
  <w:num w:numId="20">
    <w:abstractNumId w:val="7"/>
  </w:num>
  <w:num w:numId="21">
    <w:abstractNumId w:val="16"/>
  </w:num>
  <w:num w:numId="22">
    <w:abstractNumId w:val="9"/>
  </w:num>
  <w:num w:numId="23">
    <w:abstractNumId w:val="10"/>
  </w:num>
  <w:num w:numId="24">
    <w:abstractNumId w:val="3"/>
  </w:num>
  <w:num w:numId="25">
    <w:abstractNumId w:val="14"/>
  </w:num>
  <w:num w:numId="26">
    <w:abstractNumId w:val="19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activeWritingStyle w:appName="MSWord" w:lang="nl" w:vendorID="1" w:dllVersion="512" w:checkStyle="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32"/>
    <w:rsid w:val="000037A0"/>
    <w:rsid w:val="00003F4A"/>
    <w:rsid w:val="0001257A"/>
    <w:rsid w:val="0001432E"/>
    <w:rsid w:val="000227C2"/>
    <w:rsid w:val="00023772"/>
    <w:rsid w:val="00025D56"/>
    <w:rsid w:val="000347F9"/>
    <w:rsid w:val="00046EDA"/>
    <w:rsid w:val="00056F29"/>
    <w:rsid w:val="00057140"/>
    <w:rsid w:val="0006254A"/>
    <w:rsid w:val="00081905"/>
    <w:rsid w:val="0009380F"/>
    <w:rsid w:val="0009570C"/>
    <w:rsid w:val="000B5A1E"/>
    <w:rsid w:val="000B7A28"/>
    <w:rsid w:val="000C0EB8"/>
    <w:rsid w:val="000D11F2"/>
    <w:rsid w:val="000D141E"/>
    <w:rsid w:val="000E22AC"/>
    <w:rsid w:val="0010003B"/>
    <w:rsid w:val="001004A3"/>
    <w:rsid w:val="00121398"/>
    <w:rsid w:val="00121E0B"/>
    <w:rsid w:val="001241C3"/>
    <w:rsid w:val="0012439F"/>
    <w:rsid w:val="00130FD6"/>
    <w:rsid w:val="00134C22"/>
    <w:rsid w:val="00150BD7"/>
    <w:rsid w:val="00167B29"/>
    <w:rsid w:val="001715F6"/>
    <w:rsid w:val="0017286E"/>
    <w:rsid w:val="0017296D"/>
    <w:rsid w:val="00184344"/>
    <w:rsid w:val="0018587D"/>
    <w:rsid w:val="00196FB3"/>
    <w:rsid w:val="001A1C56"/>
    <w:rsid w:val="001A1E51"/>
    <w:rsid w:val="001A7B44"/>
    <w:rsid w:val="001B1AE2"/>
    <w:rsid w:val="001C43F8"/>
    <w:rsid w:val="001E286B"/>
    <w:rsid w:val="001E3870"/>
    <w:rsid w:val="001F2261"/>
    <w:rsid w:val="001F6D85"/>
    <w:rsid w:val="00201C11"/>
    <w:rsid w:val="0021546B"/>
    <w:rsid w:val="00220213"/>
    <w:rsid w:val="00223E97"/>
    <w:rsid w:val="00235E82"/>
    <w:rsid w:val="002402CA"/>
    <w:rsid w:val="002448E4"/>
    <w:rsid w:val="002472A9"/>
    <w:rsid w:val="00247A90"/>
    <w:rsid w:val="00252F11"/>
    <w:rsid w:val="00256736"/>
    <w:rsid w:val="00283265"/>
    <w:rsid w:val="00283EAC"/>
    <w:rsid w:val="00292165"/>
    <w:rsid w:val="002A3F2B"/>
    <w:rsid w:val="002A6E32"/>
    <w:rsid w:val="002B3ABF"/>
    <w:rsid w:val="002B6CD5"/>
    <w:rsid w:val="002C5630"/>
    <w:rsid w:val="002C72D7"/>
    <w:rsid w:val="002D2502"/>
    <w:rsid w:val="002E2738"/>
    <w:rsid w:val="002F5862"/>
    <w:rsid w:val="00301666"/>
    <w:rsid w:val="00303E9C"/>
    <w:rsid w:val="00306FDD"/>
    <w:rsid w:val="00311292"/>
    <w:rsid w:val="00315DA4"/>
    <w:rsid w:val="00327F8F"/>
    <w:rsid w:val="003330A9"/>
    <w:rsid w:val="00335D27"/>
    <w:rsid w:val="00336ABC"/>
    <w:rsid w:val="00346D6B"/>
    <w:rsid w:val="0035158F"/>
    <w:rsid w:val="00354B01"/>
    <w:rsid w:val="00361696"/>
    <w:rsid w:val="003627C3"/>
    <w:rsid w:val="003749E1"/>
    <w:rsid w:val="00377919"/>
    <w:rsid w:val="003832D1"/>
    <w:rsid w:val="00385FDB"/>
    <w:rsid w:val="00392B8C"/>
    <w:rsid w:val="003C6D2B"/>
    <w:rsid w:val="003C76DC"/>
    <w:rsid w:val="003E1CA0"/>
    <w:rsid w:val="003E1D2A"/>
    <w:rsid w:val="00401B6D"/>
    <w:rsid w:val="00420A7C"/>
    <w:rsid w:val="00422711"/>
    <w:rsid w:val="00445753"/>
    <w:rsid w:val="004647E8"/>
    <w:rsid w:val="00466FDC"/>
    <w:rsid w:val="0046728E"/>
    <w:rsid w:val="00475E47"/>
    <w:rsid w:val="00493346"/>
    <w:rsid w:val="00494A86"/>
    <w:rsid w:val="004A58C8"/>
    <w:rsid w:val="004B2DB1"/>
    <w:rsid w:val="004B3620"/>
    <w:rsid w:val="004C0B4D"/>
    <w:rsid w:val="004C14F2"/>
    <w:rsid w:val="004C15F8"/>
    <w:rsid w:val="004C1D7A"/>
    <w:rsid w:val="004C2477"/>
    <w:rsid w:val="004D1F2B"/>
    <w:rsid w:val="004D7E96"/>
    <w:rsid w:val="004E2DAF"/>
    <w:rsid w:val="004E4BB1"/>
    <w:rsid w:val="004E5068"/>
    <w:rsid w:val="004F29B8"/>
    <w:rsid w:val="00502259"/>
    <w:rsid w:val="0050639E"/>
    <w:rsid w:val="00530A72"/>
    <w:rsid w:val="005318E2"/>
    <w:rsid w:val="00532441"/>
    <w:rsid w:val="00532794"/>
    <w:rsid w:val="0053678B"/>
    <w:rsid w:val="005575FC"/>
    <w:rsid w:val="00561577"/>
    <w:rsid w:val="00566668"/>
    <w:rsid w:val="00573AF9"/>
    <w:rsid w:val="00575E77"/>
    <w:rsid w:val="00584A7E"/>
    <w:rsid w:val="0058569D"/>
    <w:rsid w:val="00590738"/>
    <w:rsid w:val="00594224"/>
    <w:rsid w:val="005A7F38"/>
    <w:rsid w:val="005B258B"/>
    <w:rsid w:val="005B646F"/>
    <w:rsid w:val="005C0BC7"/>
    <w:rsid w:val="005F0C2C"/>
    <w:rsid w:val="00604AAB"/>
    <w:rsid w:val="006070B6"/>
    <w:rsid w:val="00616229"/>
    <w:rsid w:val="00616F1B"/>
    <w:rsid w:val="0062049F"/>
    <w:rsid w:val="00636EBE"/>
    <w:rsid w:val="00660140"/>
    <w:rsid w:val="00660605"/>
    <w:rsid w:val="00673946"/>
    <w:rsid w:val="00675522"/>
    <w:rsid w:val="00682F76"/>
    <w:rsid w:val="00692663"/>
    <w:rsid w:val="00693CA2"/>
    <w:rsid w:val="006952B3"/>
    <w:rsid w:val="006956D8"/>
    <w:rsid w:val="00696D84"/>
    <w:rsid w:val="006A1319"/>
    <w:rsid w:val="006A6331"/>
    <w:rsid w:val="006A7E5F"/>
    <w:rsid w:val="006B313C"/>
    <w:rsid w:val="006B79D2"/>
    <w:rsid w:val="006D7C0C"/>
    <w:rsid w:val="00720B05"/>
    <w:rsid w:val="007230FD"/>
    <w:rsid w:val="00725A29"/>
    <w:rsid w:val="007329DC"/>
    <w:rsid w:val="00747388"/>
    <w:rsid w:val="00747F48"/>
    <w:rsid w:val="00764B3F"/>
    <w:rsid w:val="00775252"/>
    <w:rsid w:val="007802A8"/>
    <w:rsid w:val="00792402"/>
    <w:rsid w:val="007A1008"/>
    <w:rsid w:val="007A2FC8"/>
    <w:rsid w:val="007A3A0F"/>
    <w:rsid w:val="007A50CA"/>
    <w:rsid w:val="007B5437"/>
    <w:rsid w:val="007B735D"/>
    <w:rsid w:val="007C39DA"/>
    <w:rsid w:val="007C4FCB"/>
    <w:rsid w:val="007C6932"/>
    <w:rsid w:val="007D3D5A"/>
    <w:rsid w:val="007D4A5F"/>
    <w:rsid w:val="007D7265"/>
    <w:rsid w:val="007F1DF0"/>
    <w:rsid w:val="007F551B"/>
    <w:rsid w:val="0082095D"/>
    <w:rsid w:val="008241D5"/>
    <w:rsid w:val="00834555"/>
    <w:rsid w:val="008364B9"/>
    <w:rsid w:val="00836EE1"/>
    <w:rsid w:val="00836F9C"/>
    <w:rsid w:val="00843893"/>
    <w:rsid w:val="00844148"/>
    <w:rsid w:val="00851AE7"/>
    <w:rsid w:val="00853F43"/>
    <w:rsid w:val="00863808"/>
    <w:rsid w:val="008826C9"/>
    <w:rsid w:val="00894062"/>
    <w:rsid w:val="008953A8"/>
    <w:rsid w:val="008979A2"/>
    <w:rsid w:val="008A03C8"/>
    <w:rsid w:val="008A5C32"/>
    <w:rsid w:val="008B42F5"/>
    <w:rsid w:val="008C7C90"/>
    <w:rsid w:val="008D1B4D"/>
    <w:rsid w:val="008D5859"/>
    <w:rsid w:val="008D6EF2"/>
    <w:rsid w:val="008F28FA"/>
    <w:rsid w:val="008F2D97"/>
    <w:rsid w:val="008F4499"/>
    <w:rsid w:val="008F466A"/>
    <w:rsid w:val="008F62AF"/>
    <w:rsid w:val="0090710F"/>
    <w:rsid w:val="009262F2"/>
    <w:rsid w:val="00932BA7"/>
    <w:rsid w:val="00935637"/>
    <w:rsid w:val="00942D47"/>
    <w:rsid w:val="00943FC9"/>
    <w:rsid w:val="00954AF4"/>
    <w:rsid w:val="009649E7"/>
    <w:rsid w:val="009930EC"/>
    <w:rsid w:val="00994DD3"/>
    <w:rsid w:val="009B2187"/>
    <w:rsid w:val="009B3572"/>
    <w:rsid w:val="009B5CEA"/>
    <w:rsid w:val="009C4DE1"/>
    <w:rsid w:val="009D278A"/>
    <w:rsid w:val="009D554C"/>
    <w:rsid w:val="009E425F"/>
    <w:rsid w:val="009F0A98"/>
    <w:rsid w:val="009F4261"/>
    <w:rsid w:val="009F60F0"/>
    <w:rsid w:val="00A00B04"/>
    <w:rsid w:val="00A01CCF"/>
    <w:rsid w:val="00A108B3"/>
    <w:rsid w:val="00A1399F"/>
    <w:rsid w:val="00A174C0"/>
    <w:rsid w:val="00A32CF7"/>
    <w:rsid w:val="00A40E61"/>
    <w:rsid w:val="00A43110"/>
    <w:rsid w:val="00A53847"/>
    <w:rsid w:val="00A61FB0"/>
    <w:rsid w:val="00A647C3"/>
    <w:rsid w:val="00A703B9"/>
    <w:rsid w:val="00A72483"/>
    <w:rsid w:val="00A87198"/>
    <w:rsid w:val="00AA623C"/>
    <w:rsid w:val="00AB2B9B"/>
    <w:rsid w:val="00AB3023"/>
    <w:rsid w:val="00AC0051"/>
    <w:rsid w:val="00AC0C9E"/>
    <w:rsid w:val="00AC6B35"/>
    <w:rsid w:val="00AD30ED"/>
    <w:rsid w:val="00AD3665"/>
    <w:rsid w:val="00AD392A"/>
    <w:rsid w:val="00AD642B"/>
    <w:rsid w:val="00AE1715"/>
    <w:rsid w:val="00AE1E5E"/>
    <w:rsid w:val="00AF21D6"/>
    <w:rsid w:val="00B0745D"/>
    <w:rsid w:val="00B169C8"/>
    <w:rsid w:val="00B2666D"/>
    <w:rsid w:val="00B40ABC"/>
    <w:rsid w:val="00B54149"/>
    <w:rsid w:val="00B57B73"/>
    <w:rsid w:val="00B63495"/>
    <w:rsid w:val="00B71A45"/>
    <w:rsid w:val="00B80CD2"/>
    <w:rsid w:val="00B80D47"/>
    <w:rsid w:val="00B81234"/>
    <w:rsid w:val="00B84D34"/>
    <w:rsid w:val="00B9459E"/>
    <w:rsid w:val="00B95A45"/>
    <w:rsid w:val="00B9653B"/>
    <w:rsid w:val="00BB017C"/>
    <w:rsid w:val="00BB6B51"/>
    <w:rsid w:val="00BD1168"/>
    <w:rsid w:val="00BE1974"/>
    <w:rsid w:val="00BE2D8B"/>
    <w:rsid w:val="00BF01B7"/>
    <w:rsid w:val="00BF29D4"/>
    <w:rsid w:val="00BF2C15"/>
    <w:rsid w:val="00BF6B16"/>
    <w:rsid w:val="00BF7E47"/>
    <w:rsid w:val="00C02BD6"/>
    <w:rsid w:val="00C10963"/>
    <w:rsid w:val="00C11A7F"/>
    <w:rsid w:val="00C1491A"/>
    <w:rsid w:val="00C24D29"/>
    <w:rsid w:val="00C3474B"/>
    <w:rsid w:val="00C41161"/>
    <w:rsid w:val="00C549E2"/>
    <w:rsid w:val="00C57953"/>
    <w:rsid w:val="00C57E14"/>
    <w:rsid w:val="00C627A5"/>
    <w:rsid w:val="00C72C66"/>
    <w:rsid w:val="00C747BE"/>
    <w:rsid w:val="00C76C54"/>
    <w:rsid w:val="00C81B3F"/>
    <w:rsid w:val="00C82F16"/>
    <w:rsid w:val="00C83649"/>
    <w:rsid w:val="00C92AB5"/>
    <w:rsid w:val="00C9484F"/>
    <w:rsid w:val="00C96020"/>
    <w:rsid w:val="00CA67A9"/>
    <w:rsid w:val="00CB0343"/>
    <w:rsid w:val="00CB2BFD"/>
    <w:rsid w:val="00CB739A"/>
    <w:rsid w:val="00CD41A8"/>
    <w:rsid w:val="00CD570E"/>
    <w:rsid w:val="00D00FD0"/>
    <w:rsid w:val="00D010B4"/>
    <w:rsid w:val="00D04267"/>
    <w:rsid w:val="00D26890"/>
    <w:rsid w:val="00D35EC2"/>
    <w:rsid w:val="00D44330"/>
    <w:rsid w:val="00D539AA"/>
    <w:rsid w:val="00D734C1"/>
    <w:rsid w:val="00D771D0"/>
    <w:rsid w:val="00D9136E"/>
    <w:rsid w:val="00D96420"/>
    <w:rsid w:val="00DA278A"/>
    <w:rsid w:val="00DA5365"/>
    <w:rsid w:val="00DB208E"/>
    <w:rsid w:val="00DB2102"/>
    <w:rsid w:val="00DB2167"/>
    <w:rsid w:val="00DC054E"/>
    <w:rsid w:val="00DC39F8"/>
    <w:rsid w:val="00DC3D59"/>
    <w:rsid w:val="00DD1F79"/>
    <w:rsid w:val="00DD33C1"/>
    <w:rsid w:val="00DD37A6"/>
    <w:rsid w:val="00DE6489"/>
    <w:rsid w:val="00E20459"/>
    <w:rsid w:val="00E21018"/>
    <w:rsid w:val="00E3093C"/>
    <w:rsid w:val="00E36A93"/>
    <w:rsid w:val="00E44FA5"/>
    <w:rsid w:val="00E45258"/>
    <w:rsid w:val="00E51857"/>
    <w:rsid w:val="00E540BB"/>
    <w:rsid w:val="00E63926"/>
    <w:rsid w:val="00E660A4"/>
    <w:rsid w:val="00E77CEF"/>
    <w:rsid w:val="00E87563"/>
    <w:rsid w:val="00EA2F70"/>
    <w:rsid w:val="00EB1E53"/>
    <w:rsid w:val="00EB4D88"/>
    <w:rsid w:val="00EB5150"/>
    <w:rsid w:val="00EB7DCD"/>
    <w:rsid w:val="00EC7B44"/>
    <w:rsid w:val="00ED0EDB"/>
    <w:rsid w:val="00ED10EB"/>
    <w:rsid w:val="00ED3345"/>
    <w:rsid w:val="00EE225A"/>
    <w:rsid w:val="00EE351B"/>
    <w:rsid w:val="00EF2CB6"/>
    <w:rsid w:val="00F41669"/>
    <w:rsid w:val="00F430E4"/>
    <w:rsid w:val="00F44133"/>
    <w:rsid w:val="00F45259"/>
    <w:rsid w:val="00F5130F"/>
    <w:rsid w:val="00F51F9E"/>
    <w:rsid w:val="00F5409F"/>
    <w:rsid w:val="00F76932"/>
    <w:rsid w:val="00F80804"/>
    <w:rsid w:val="00F829D9"/>
    <w:rsid w:val="00F947B9"/>
    <w:rsid w:val="00F9496F"/>
    <w:rsid w:val="00F94A53"/>
    <w:rsid w:val="00F9540D"/>
    <w:rsid w:val="00FC2BF8"/>
    <w:rsid w:val="00FC5E02"/>
    <w:rsid w:val="00FC7BA7"/>
    <w:rsid w:val="00FD1933"/>
    <w:rsid w:val="00FD19A0"/>
    <w:rsid w:val="00FD6868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B6901"/>
  <w15:docId w15:val="{C89E0FF6-F524-4E5D-91D6-5267215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Mincho" w:hAnsi="Trebuchet MS" w:cstheme="minorBidi"/>
        <w:szCs w:val="22"/>
        <w:lang w:val="nl-N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2F76"/>
    <w:rPr>
      <w:rFonts w:cs="Times New Roman"/>
      <w:szCs w:val="20"/>
      <w:lang w:eastAsia="nl-NL"/>
    </w:rPr>
  </w:style>
  <w:style w:type="paragraph" w:styleId="Kop1">
    <w:name w:val="heading 1"/>
    <w:aliases w:val="Artikel - kop"/>
    <w:basedOn w:val="Standaard"/>
    <w:next w:val="Standaard"/>
    <w:link w:val="Kop1Char"/>
    <w:uiPriority w:val="9"/>
    <w:qFormat/>
    <w:rsid w:val="00D53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.1"/>
    <w:basedOn w:val="Standaard"/>
    <w:next w:val="Standaard"/>
    <w:link w:val="Kop2Char"/>
    <w:uiPriority w:val="9"/>
    <w:semiHidden/>
    <w:unhideWhenUsed/>
    <w:qFormat/>
    <w:rsid w:val="00D53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3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36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unhideWhenUsed/>
    <w:qFormat/>
    <w:rsid w:val="00AD3665"/>
    <w:pPr>
      <w:keepNext/>
      <w:keepLines/>
      <w:numPr>
        <w:numId w:val="16"/>
      </w:numPr>
      <w:tabs>
        <w:tab w:val="clear" w:pos="1080"/>
        <w:tab w:val="num" w:pos="3349"/>
      </w:tabs>
      <w:spacing w:before="200"/>
      <w:ind w:left="262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330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DB216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2DAF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2DAF"/>
    <w:rPr>
      <w:rFonts w:cs="Times New Roman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2DA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27F8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6E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EBE"/>
    <w:rPr>
      <w:rFonts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3F43"/>
    <w:pPr>
      <w:tabs>
        <w:tab w:val="center" w:pos="4536"/>
        <w:tab w:val="right" w:pos="9072"/>
      </w:tabs>
      <w:spacing w:before="60" w:line="240" w:lineRule="auto"/>
      <w:ind w:left="709" w:hanging="709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3F43"/>
    <w:rPr>
      <w:rFonts w:cs="Times New Roman"/>
      <w:sz w:val="16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413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BF6B16"/>
    <w:pPr>
      <w:autoSpaceDE w:val="0"/>
      <w:autoSpaceDN w:val="0"/>
      <w:adjustRightInd w:val="0"/>
      <w:spacing w:line="240" w:lineRule="auto"/>
      <w:jc w:val="left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styleId="Lichtelijst">
    <w:name w:val="Light List"/>
    <w:basedOn w:val="Standaardtabel"/>
    <w:uiPriority w:val="61"/>
    <w:rsid w:val="006952B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D010B4"/>
    <w:pPr>
      <w:spacing w:line="240" w:lineRule="auto"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WD1">
    <w:name w:val="WD1"/>
    <w:basedOn w:val="Lijstalinea"/>
    <w:qFormat/>
    <w:rsid w:val="00DD33C1"/>
    <w:pPr>
      <w:numPr>
        <w:numId w:val="1"/>
      </w:numPr>
      <w:ind w:left="1134" w:hanging="1134"/>
    </w:pPr>
    <w:rPr>
      <w:b/>
      <w:color w:val="E17C01"/>
      <w:sz w:val="32"/>
      <w:szCs w:val="24"/>
    </w:rPr>
  </w:style>
  <w:style w:type="paragraph" w:customStyle="1" w:styleId="WD2">
    <w:name w:val="WD2"/>
    <w:basedOn w:val="Standaard"/>
    <w:qFormat/>
    <w:rsid w:val="00DD33C1"/>
    <w:pPr>
      <w:numPr>
        <w:ilvl w:val="1"/>
        <w:numId w:val="1"/>
      </w:numPr>
      <w:ind w:left="1134" w:hanging="1134"/>
    </w:pPr>
    <w:rPr>
      <w:b/>
      <w:color w:val="E17C01"/>
      <w:sz w:val="28"/>
      <w:szCs w:val="24"/>
    </w:rPr>
  </w:style>
  <w:style w:type="paragraph" w:customStyle="1" w:styleId="WD3">
    <w:name w:val="WD3"/>
    <w:basedOn w:val="Standaard"/>
    <w:qFormat/>
    <w:rsid w:val="00DD33C1"/>
    <w:pPr>
      <w:numPr>
        <w:ilvl w:val="2"/>
        <w:numId w:val="1"/>
      </w:numPr>
      <w:ind w:left="1134" w:hanging="1134"/>
    </w:pPr>
    <w:rPr>
      <w:b/>
      <w:color w:val="E17C01"/>
      <w:sz w:val="24"/>
    </w:rPr>
  </w:style>
  <w:style w:type="character" w:customStyle="1" w:styleId="Kop1Char">
    <w:name w:val="Kop 1 Char"/>
    <w:aliases w:val="Artikel - kop Char"/>
    <w:basedOn w:val="Standaardalinea-lettertype"/>
    <w:link w:val="Kop1"/>
    <w:uiPriority w:val="9"/>
    <w:rsid w:val="00D5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94A53"/>
    <w:pPr>
      <w:tabs>
        <w:tab w:val="left" w:pos="1418"/>
        <w:tab w:val="right" w:leader="dot" w:pos="9060"/>
      </w:tabs>
      <w:ind w:left="1418" w:hanging="1418"/>
    </w:pPr>
    <w:rPr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F4499"/>
    <w:pPr>
      <w:tabs>
        <w:tab w:val="left" w:pos="1418"/>
        <w:tab w:val="right" w:leader="dot" w:pos="9072"/>
      </w:tabs>
      <w:ind w:left="709" w:hanging="709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A2F70"/>
    <w:pPr>
      <w:tabs>
        <w:tab w:val="left" w:pos="2278"/>
        <w:tab w:val="right" w:leader="dot" w:pos="9072"/>
      </w:tabs>
      <w:ind w:left="2127" w:right="281" w:hanging="709"/>
    </w:pPr>
    <w:rPr>
      <w:noProof/>
      <w:sz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539AA"/>
    <w:pPr>
      <w:spacing w:line="276" w:lineRule="auto"/>
      <w:jc w:val="left"/>
      <w:outlineLvl w:val="9"/>
    </w:pPr>
  </w:style>
  <w:style w:type="character" w:customStyle="1" w:styleId="Kop2Char">
    <w:name w:val="Kop 2 Char"/>
    <w:aliases w:val=".1 Char"/>
    <w:basedOn w:val="Standaardalinea-lettertype"/>
    <w:link w:val="Kop2"/>
    <w:uiPriority w:val="9"/>
    <w:semiHidden/>
    <w:rsid w:val="00D53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39AA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table" w:styleId="Tabelraster">
    <w:name w:val="Table Grid"/>
    <w:basedOn w:val="Standaardtabel"/>
    <w:uiPriority w:val="59"/>
    <w:rsid w:val="008D6E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Voetnoottekst"/>
    <w:qFormat/>
    <w:rsid w:val="003832D1"/>
    <w:pPr>
      <w:ind w:left="709" w:hanging="709"/>
    </w:pPr>
    <w:rPr>
      <w:sz w:val="16"/>
    </w:rPr>
  </w:style>
  <w:style w:type="paragraph" w:customStyle="1" w:styleId="Bijlagen">
    <w:name w:val="Bijlagen"/>
    <w:basedOn w:val="Standaard"/>
    <w:qFormat/>
    <w:rsid w:val="00836F9C"/>
    <w:rPr>
      <w:b/>
      <w:color w:val="E17C01"/>
      <w:sz w:val="28"/>
    </w:rPr>
  </w:style>
  <w:style w:type="paragraph" w:styleId="Inhopg4">
    <w:name w:val="toc 4"/>
    <w:basedOn w:val="Bijlagen"/>
    <w:next w:val="Standaard"/>
    <w:autoRedefine/>
    <w:uiPriority w:val="39"/>
    <w:unhideWhenUsed/>
    <w:rsid w:val="00836F9C"/>
    <w:pPr>
      <w:tabs>
        <w:tab w:val="right" w:leader="dot" w:pos="9060"/>
      </w:tabs>
      <w:ind w:left="709"/>
    </w:pPr>
    <w:rPr>
      <w:b w:val="0"/>
      <w:noProof/>
      <w:color w:val="000000" w:themeColor="text1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4C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C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C22"/>
    <w:rPr>
      <w:rFonts w:cs="Times New Roman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C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C22"/>
    <w:rPr>
      <w:rFonts w:cs="Times New Roman"/>
      <w:b/>
      <w:bCs/>
      <w:szCs w:val="20"/>
      <w:lang w:eastAsia="nl-NL"/>
    </w:rPr>
  </w:style>
  <w:style w:type="paragraph" w:customStyle="1" w:styleId="StijlArtikel">
    <w:name w:val="Stijl Artikel"/>
    <w:basedOn w:val="Standaard"/>
    <w:qFormat/>
    <w:rsid w:val="0006254A"/>
    <w:pPr>
      <w:numPr>
        <w:numId w:val="2"/>
      </w:numPr>
      <w:ind w:left="1418" w:hanging="1418"/>
    </w:pPr>
    <w:rPr>
      <w:rFonts w:eastAsia="Times New Roman" w:cstheme="minorBidi"/>
      <w:b/>
      <w:color w:val="E17C01"/>
      <w:sz w:val="28"/>
      <w:lang w:eastAsia="en-US"/>
    </w:rPr>
  </w:style>
  <w:style w:type="paragraph" w:customStyle="1" w:styleId="stijlartikel1">
    <w:name w:val="stijl artikel.1"/>
    <w:basedOn w:val="Standaard"/>
    <w:qFormat/>
    <w:rsid w:val="00AA623C"/>
    <w:pPr>
      <w:numPr>
        <w:ilvl w:val="1"/>
        <w:numId w:val="2"/>
      </w:numPr>
    </w:pPr>
    <w:rPr>
      <w:rFonts w:eastAsia="Times New Roman" w:cstheme="minorBidi"/>
      <w:lang w:eastAsia="en-US"/>
    </w:rPr>
  </w:style>
  <w:style w:type="paragraph" w:customStyle="1" w:styleId="Stijlartikel11">
    <w:name w:val="Stijl artikel.1.1"/>
    <w:basedOn w:val="stijlartikel1"/>
    <w:qFormat/>
    <w:rsid w:val="00AA623C"/>
    <w:pPr>
      <w:numPr>
        <w:ilvl w:val="2"/>
      </w:numPr>
    </w:pPr>
  </w:style>
  <w:style w:type="paragraph" w:customStyle="1" w:styleId="Stijlanaartikel1">
    <w:name w:val="Stijl a) na artikel.1"/>
    <w:basedOn w:val="Stijlartikel11"/>
    <w:qFormat/>
    <w:rsid w:val="00AA623C"/>
    <w:pPr>
      <w:numPr>
        <w:ilvl w:val="3"/>
      </w:numPr>
    </w:pPr>
  </w:style>
  <w:style w:type="paragraph" w:customStyle="1" w:styleId="Stijla">
    <w:name w:val="Stijl a)"/>
    <w:basedOn w:val="Standaard"/>
    <w:qFormat/>
    <w:rsid w:val="00AA623C"/>
    <w:pPr>
      <w:numPr>
        <w:ilvl w:val="4"/>
        <w:numId w:val="2"/>
      </w:numPr>
    </w:pPr>
    <w:rPr>
      <w:rFonts w:eastAsia="Times New Roman" w:cstheme="minorBidi"/>
      <w:lang w:eastAsia="en-US"/>
    </w:rPr>
  </w:style>
  <w:style w:type="paragraph" w:styleId="Geenafstand">
    <w:name w:val="No Spacing"/>
    <w:uiPriority w:val="1"/>
    <w:qFormat/>
    <w:rsid w:val="00AA623C"/>
    <w:pPr>
      <w:spacing w:line="240" w:lineRule="auto"/>
    </w:pPr>
    <w:rPr>
      <w:rFonts w:eastAsia="Times New Roman" w:cs="Times New Roman"/>
      <w:szCs w:val="20"/>
      <w:lang w:eastAsia="nl-NL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A623C"/>
    <w:pPr>
      <w:spacing w:line="240" w:lineRule="auto"/>
      <w:ind w:left="200" w:hanging="200"/>
    </w:pPr>
    <w:rPr>
      <w:rFonts w:eastAsia="Times New Roman"/>
      <w:b/>
    </w:rPr>
  </w:style>
  <w:style w:type="character" w:customStyle="1" w:styleId="ol1">
    <w:name w:val="ol1"/>
    <w:basedOn w:val="Standaardalinea-lettertype"/>
    <w:rsid w:val="00AA623C"/>
  </w:style>
  <w:style w:type="paragraph" w:customStyle="1" w:styleId="labeled2">
    <w:name w:val="labeled2"/>
    <w:basedOn w:val="Standaard"/>
    <w:rsid w:val="00AA623C"/>
    <w:pPr>
      <w:spacing w:line="240" w:lineRule="auto"/>
      <w:ind w:left="12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ijl1opsomming">
    <w:name w:val="Stijl1 opsomming"/>
    <w:basedOn w:val="Standaard"/>
    <w:qFormat/>
    <w:rsid w:val="00AA623C"/>
    <w:pPr>
      <w:numPr>
        <w:ilvl w:val="6"/>
        <w:numId w:val="2"/>
      </w:numPr>
    </w:pPr>
    <w:rPr>
      <w:rFonts w:eastAsia="Times New Roman" w:cstheme="minorBidi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366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AD366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nl-NL"/>
    </w:rPr>
  </w:style>
  <w:style w:type="character" w:customStyle="1" w:styleId="Mention">
    <w:name w:val="Mention"/>
    <w:basedOn w:val="Standaardalinea-lettertype"/>
    <w:uiPriority w:val="99"/>
    <w:semiHidden/>
    <w:unhideWhenUsed/>
    <w:rsid w:val="001A7B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34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2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6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771">
              <w:marLeft w:val="13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justice/data-protection/international-transfers/adequacy/index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justice/data-protection/international-transfers/transfer/index_en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4152-F94D-4CE0-80DC-F247E846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B.A.J. van Lammeren</dc:creator>
  <cp:lastModifiedBy>Geert Jan Vonk</cp:lastModifiedBy>
  <cp:revision>6</cp:revision>
  <cp:lastPrinted>2017-03-14T09:42:00Z</cp:lastPrinted>
  <dcterms:created xsi:type="dcterms:W3CDTF">2018-03-23T12:36:00Z</dcterms:created>
  <dcterms:modified xsi:type="dcterms:W3CDTF">2018-06-29T11:29:00Z</dcterms:modified>
</cp:coreProperties>
</file>